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5C" w:rsidRDefault="00E2611D">
      <w:r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 xml:space="preserve">Oferta </w:t>
      </w: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>prod</w:t>
      </w:r>
      <w:proofErr w:type="spellEnd"/>
      <w:r w:rsidRPr="00E2611D">
        <w:rPr>
          <w:rFonts w:ascii="Calibri" w:eastAsia="Times New Roman" w:hAnsi="Calibri" w:cs="Times New Roman"/>
          <w:color w:val="000000"/>
          <w:sz w:val="22"/>
          <w:szCs w:val="22"/>
        </w:rPr>
        <w:br/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1761"/>
        <w:gridCol w:w="7521"/>
      </w:tblGrid>
      <w:tr w:rsidR="00CE2D5C" w:rsidRPr="00CE2D5C" w:rsidTr="00CE2D5C">
        <w:trPr>
          <w:trHeight w:val="280"/>
        </w:trPr>
        <w:tc>
          <w:tcPr>
            <w:tcW w:w="12940" w:type="dxa"/>
            <w:gridSpan w:val="2"/>
            <w:noWrap/>
            <w:hideMark/>
          </w:tcPr>
          <w:p w:rsidR="00CE2D5C" w:rsidRPr="00CE2D5C" w:rsidRDefault="00CE2D5C" w:rsidP="00CE2D5C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INOFRMACJE OGÓLNE NEOPUTTY</w:t>
            </w:r>
          </w:p>
        </w:tc>
      </w:tr>
      <w:tr w:rsidR="00CE2D5C" w:rsidRPr="00CE2D5C" w:rsidTr="00CE2D5C">
        <w:trPr>
          <w:trHeight w:val="1400"/>
        </w:trPr>
        <w:tc>
          <w:tcPr>
            <w:tcW w:w="2400" w:type="dxa"/>
            <w:noWrap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Co to jest </w:t>
            </w:r>
            <w:proofErr w:type="spellStart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10540" w:type="dxa"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™ to gotowy do użycia,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premiksowany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bioaktywny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bioceramiczny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materiał do leczenia korzenia i miazgi, składający się z bardzo drobnego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nieorganiczego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proszku silikatu trójwapniowego/dwuwapiennego w bezwodnej organicznej cieczy. Produkt jest pakowany i gotowy do użycia bez potrzeby mieszania.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jest zaprojektowany tak, aby twardniał in vivo w obecności wilgoci z otaczających tkanek.</w:t>
            </w:r>
          </w:p>
        </w:tc>
      </w:tr>
      <w:tr w:rsidR="00CE2D5C" w:rsidRPr="00CE2D5C" w:rsidTr="00CE2D5C">
        <w:trPr>
          <w:trHeight w:val="3180"/>
        </w:trPr>
        <w:tc>
          <w:tcPr>
            <w:tcW w:w="2400" w:type="dxa"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Jak działa </w:t>
            </w:r>
            <w:proofErr w:type="spellStart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?       </w:t>
            </w:r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br/>
              <w:t xml:space="preserve">Co rozumiesz przez odporność na wypłukiwanie i czy </w:t>
            </w:r>
            <w:proofErr w:type="spellStart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od NuSmile jest  odporny na wypłukiwanie?"</w:t>
            </w:r>
          </w:p>
        </w:tc>
        <w:tc>
          <w:tcPr>
            <w:tcW w:w="10540" w:type="dxa"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™ to gotowy do użycia,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premiksowany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bioaktywny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bioceramiczny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materiał do leczenia korzenia i miazgi, składający się z bardzo drobnego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nieorganiczego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proszku silikatu trójwapniowego/dwuwapiennego w bezwodnej organicznej cieczy. Produkt jest pakowany i gotowy do użycia bez potrzeby mieszania.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jest zaprojektowany tak, aby twardniał in vivo w obecności wilgoci z otaczających tkanek.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różni się od naszego produktu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NeoMTA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® 2, który jest pakowany jako proszek i żel i wymaga mieszania.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NeoMTA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2 zaczyna twardnieć, gdy proszek i żel są mieszane i kontynuuje twardnienie in vivo. Jedną z ważnych cech wpływających na wydajność produktów typu MTA jest ich stabilność po umieszczeniu w zębie. Stabilność produktu testujemy poprzez badanie odporności na wypłukiwanie.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jest natychmiast odporny na wypłukiwanie. Można delikatnie przemywać i kończyć restaurację lub cementować koronę zaraz po umieszczeniu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CE2D5C" w:rsidRPr="00CE2D5C" w:rsidTr="00CE2D5C">
        <w:trPr>
          <w:trHeight w:val="2700"/>
        </w:trPr>
        <w:tc>
          <w:tcPr>
            <w:tcW w:w="2400" w:type="dxa"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Jaka jest różnica między </w:t>
            </w:r>
            <w:proofErr w:type="spellStart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a NeoMTA2 od NuSmile?</w:t>
            </w:r>
          </w:p>
        </w:tc>
        <w:tc>
          <w:tcPr>
            <w:tcW w:w="10540" w:type="dxa"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Oba produkty są bioaktywnymi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bioceramicznymi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MTAs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. Oba produkty uwalniają jony wapnia i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hydroksydu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, promując tworzenie się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hydroksyapatytu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od powierzchni, aby zapewnić uszczelnienie i wspierać gojenie. Oba produkty są wolne od żywic dla maksymalnej bioaktywności. Oba produkty początkowo mają wysokie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pH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(alkaliczne/podstawowe) po aplikacji. Literatura pokazuje, że takie produkty są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antymikrobiologiczne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in vitro. Oba produkty są stabilne kolorystycznie, niepowodujące przebarwień, zawierają tlenek tantalu (tantalit) dla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radiopacyjności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. Ani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NeoMTA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2, ani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nie zawierają tlenku bizmutu, który powoduje przebarwienia zębów. Oba produkty są natychmiast odporne na wypłukiwanie po umieszczeniu. Oba produkty mają niską rozpuszczalność w wodzie (&lt;3%) po utwardzeniu. Oba produkty są stabilne wymiarowo z zaniedbywalnym rozszerzeniem podczas utwardzania. Oba produkty zawierają bardzo drobne hydrauliczne proszki silikatu tri/dwuwapniowego.</w:t>
            </w:r>
          </w:p>
        </w:tc>
      </w:tr>
      <w:tr w:rsidR="00CE2D5C" w:rsidRPr="00CE2D5C" w:rsidTr="00CE2D5C">
        <w:trPr>
          <w:trHeight w:val="3920"/>
        </w:trPr>
        <w:tc>
          <w:tcPr>
            <w:tcW w:w="2400" w:type="dxa"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Jakie są podobieństwa między </w:t>
            </w:r>
            <w:proofErr w:type="spellStart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, a NeoMTA2 od NuSmile?</w:t>
            </w:r>
          </w:p>
        </w:tc>
        <w:tc>
          <w:tcPr>
            <w:tcW w:w="10540" w:type="dxa"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Obydwa produkty to bioaktywne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bioceramiczne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MTA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  <w:t xml:space="preserve">Obydwa produkty uwalniają jony wapnia i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hydroksydu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, promując tworzenie się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hydroksyapatytu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na powierzchni, aby zapewnić uszczelnienie i wspomagać gojenie.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  <w:t>Obydwa produkty są wolne od żywic, aby maksymalizować bioaktywność.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  <w:t xml:space="preserve">Obydwa produkty mają początkowo wysokie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pH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(alkaliczne/podstawowe) po aplikacji. Literatura wykazała, że takie produkty mają działanie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antymikrobiologiczne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in vitro.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  <w:t xml:space="preserve">Obydwa produkty są stabilne kolorystycznie, niepowodujące przebarwień, zawierają tlenek tantalu (tantalit) dla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radiopacyjności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. Ani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NeoMTA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2, ani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nie zawierają tlenku bizmutu, który powoduje przebarwienia zębów.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  <w:t>Obydwa produkty są natychmiast odporne na wypłukiwanie po umieszczeniu.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  <w:t>Obydwa produkty mają niską rozpuszczalność w wodzie (&lt;3%) po zestaleniu.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  <w:t>Obydwa produkty są stabilne wymiarowo z zaniedbywalnym rozszerzeniem podczas zestalania.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  <w:t>Obydwa produkty zawierają bardzo drobne hydrauliczne proszki silikatu tri/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dikalcyjnego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CE2D5C" w:rsidRPr="00CE2D5C" w:rsidTr="00CE2D5C">
        <w:trPr>
          <w:trHeight w:val="3220"/>
        </w:trPr>
        <w:tc>
          <w:tcPr>
            <w:tcW w:w="2400" w:type="dxa"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Co wyróżnia </w:t>
            </w:r>
            <w:proofErr w:type="spellStart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od innych MTA?</w:t>
            </w:r>
          </w:p>
        </w:tc>
        <w:tc>
          <w:tcPr>
            <w:tcW w:w="10540" w:type="dxa"/>
            <w:hideMark/>
          </w:tcPr>
          <w:p w:rsidR="00CE2D5C" w:rsidRPr="00CE2D5C" w:rsidRDefault="00CE2D5C" w:rsidP="00CE2D5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  <w:t xml:space="preserve">W przeciwieństwie do nieaktywnych materiałów na bazie żywicy zawierających  MTA,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jest: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  <w:t xml:space="preserve">Bioaktywne;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uwalnia z powierzchni jony wapnia i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hydroksydu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, promując tworzenie się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hydroksyapatytu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, aby zapewnić bioaktywne uszczelnienie.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  <w:t>Sformułowane z czystego proszku silikatu tri/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dikalcyjnego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i środka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radiopakującego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  <w:t>Stabilne wymiarowo – w przeciwieństwie do materiałów na bazie żywicy, które kurczą się.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Biokompatybilne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, nietoksyczne dla komórek.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  <w:t>Bardziej wszechstronne, posiadające więcej wskazań do leczenia.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  <w:t xml:space="preserve">Bardziej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radiopakowe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  <w:t>Wolne od żywicy dla maksymalnego stężenia MTA i maksymalnej bioaktywności. [Materiały na bazie żywicy zawierające tylko niektóre rodzaje cementu MTA nie wykazywały konsekwentnie biokompatybilności w hodowlach komórkowych3,4, co wskazuje na toksyczność, która może być przypisywana niepełnemu utwardzeniu żywicy.]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</w:p>
        </w:tc>
      </w:tr>
      <w:tr w:rsidR="00CE2D5C" w:rsidRPr="00CE2D5C" w:rsidTr="00CE2D5C">
        <w:trPr>
          <w:trHeight w:val="1040"/>
        </w:trPr>
        <w:tc>
          <w:tcPr>
            <w:tcW w:w="2400" w:type="dxa"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br/>
              <w:t>Czy wszystkie białe MTA nie przebarwiają?</w:t>
            </w:r>
          </w:p>
        </w:tc>
        <w:tc>
          <w:tcPr>
            <w:tcW w:w="10540" w:type="dxa"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  <w:t xml:space="preserve">Nie: Białe MTA, które zawierają tlenek bizmutu jako środek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radiopakujący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(np.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ProRoot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White MTA), będą powodować przebarwienia. Wszystkie produkty oparte na MTA od NuSmile, w tym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, zawierają tantalit jako środek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radiopakujący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, który nie powoduje przebarwień.</w:t>
            </w:r>
          </w:p>
        </w:tc>
      </w:tr>
      <w:tr w:rsidR="00CE2D5C" w:rsidRPr="00CE2D5C" w:rsidTr="00CE2D5C">
        <w:trPr>
          <w:trHeight w:val="3420"/>
        </w:trPr>
        <w:tc>
          <w:tcPr>
            <w:tcW w:w="2400" w:type="dxa"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br/>
              <w:t xml:space="preserve">Czy NuSmile </w:t>
            </w:r>
            <w:proofErr w:type="spellStart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jest tym samym co cement Portlandzki?</w:t>
            </w:r>
          </w:p>
        </w:tc>
        <w:tc>
          <w:tcPr>
            <w:tcW w:w="10540" w:type="dxa"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Nie: Mimo że zarówno cement Portlandzki, jak i MTA zawierają silikat trójwapniowy, nie są one tym samym.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  <w:t>Cement Portlandzki to: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  <w:t>Produkt budowlany przemysłowej klasy, nieczysty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  <w:t>Gruby proszek, który wolno twardnieje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  <w:t>NIE jest wyrobem medycznym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  <w:t>NIE jest zatwierdzony przez FDA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  <w:t xml:space="preserve">NIE jest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radiopakowy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  <w:t>NIE jest proszkiem wysoko oczyszczonym.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  <w:t xml:space="preserve">Cement Portlandzki nie może spełnić międzynarodowych standardów stomatologicznych, w tym wymagań ISO 6876, ISO 9917-1 czy ADA 57. Wszystkie produkty oparte na MTA od NuSmile, w tym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, spełniają wszystkie standardy jakości w stomatologii i są produkowane w Houston, Teksas, USA, w fabryce zarejestrowanej przez FDA i certyfikowanej zgodnie z ISO 13485.</w:t>
            </w:r>
          </w:p>
        </w:tc>
      </w:tr>
      <w:tr w:rsidR="00CE2D5C" w:rsidRPr="00CE2D5C" w:rsidTr="00CE2D5C">
        <w:trPr>
          <w:trHeight w:val="840"/>
        </w:trPr>
        <w:tc>
          <w:tcPr>
            <w:tcW w:w="2400" w:type="dxa"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Jaką </w:t>
            </w:r>
            <w:proofErr w:type="spellStart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radiopacyjność</w:t>
            </w:r>
            <w:proofErr w:type="spellEnd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ma NuSmile </w:t>
            </w:r>
            <w:proofErr w:type="spellStart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10540" w:type="dxa"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NuSmile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ma najwyższą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radiopacyjność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w swojej klasie, wynoszącą 8,1 mm równoważnika aluminium.</w:t>
            </w:r>
          </w:p>
        </w:tc>
      </w:tr>
      <w:tr w:rsidR="00CE2D5C" w:rsidRPr="00CE2D5C" w:rsidTr="00CE2D5C">
        <w:trPr>
          <w:trHeight w:val="280"/>
        </w:trPr>
        <w:tc>
          <w:tcPr>
            <w:tcW w:w="12940" w:type="dxa"/>
            <w:gridSpan w:val="2"/>
            <w:hideMark/>
          </w:tcPr>
          <w:p w:rsidR="00CE2D5C" w:rsidRPr="00CE2D5C" w:rsidRDefault="00CE2D5C" w:rsidP="00CE2D5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Dozownie</w:t>
            </w:r>
            <w:proofErr w:type="spellEnd"/>
          </w:p>
        </w:tc>
      </w:tr>
      <w:tr w:rsidR="00CE2D5C" w:rsidRPr="00CE2D5C" w:rsidTr="00CE2D5C">
        <w:trPr>
          <w:trHeight w:val="1060"/>
        </w:trPr>
        <w:tc>
          <w:tcPr>
            <w:tcW w:w="2400" w:type="dxa"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Jakie rozmiary zestawów są dostępne? Ile przypadków mogę leczyć każdym zestawem?</w:t>
            </w:r>
          </w:p>
        </w:tc>
        <w:tc>
          <w:tcPr>
            <w:tcW w:w="10540" w:type="dxa"/>
            <w:hideMark/>
          </w:tcPr>
          <w:p w:rsidR="00CE2D5C" w:rsidRPr="00CE2D5C" w:rsidRDefault="00CE2D5C" w:rsidP="00CE2D5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Zawartość strzykawki i dozowanie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  <w:t>1,2g -15 dawek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  <w:t>2.4g - 32 dawki</w:t>
            </w:r>
          </w:p>
        </w:tc>
      </w:tr>
      <w:tr w:rsidR="00CE2D5C" w:rsidRPr="00CE2D5C" w:rsidTr="00CE2D5C">
        <w:trPr>
          <w:trHeight w:val="280"/>
        </w:trPr>
        <w:tc>
          <w:tcPr>
            <w:tcW w:w="12940" w:type="dxa"/>
            <w:gridSpan w:val="2"/>
            <w:hideMark/>
          </w:tcPr>
          <w:p w:rsidR="00CE2D5C" w:rsidRPr="00CE2D5C" w:rsidRDefault="00CE2D5C" w:rsidP="00CE2D5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Aplikacja, czas pracy, procedury</w:t>
            </w:r>
          </w:p>
        </w:tc>
      </w:tr>
      <w:tr w:rsidR="00CE2D5C" w:rsidRPr="00CE2D5C" w:rsidTr="00CE2D5C">
        <w:trPr>
          <w:trHeight w:val="840"/>
        </w:trPr>
        <w:tc>
          <w:tcPr>
            <w:tcW w:w="2400" w:type="dxa"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Ile </w:t>
            </w:r>
            <w:proofErr w:type="spellStart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muszę nałożyć, aby zapewnić jego skuteczność?</w:t>
            </w:r>
          </w:p>
        </w:tc>
        <w:tc>
          <w:tcPr>
            <w:tcW w:w="10540" w:type="dxa"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Dla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pulpotomii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, warstwy podkładowej lub osłony miazgi, nałóż warstwę o grubości co najmniej 1,5 mm.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  <w:t xml:space="preserve">Dla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apeksyfikacji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korzenia delikatnie zagęść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w regionie wierzchołkowym, aby stworzyć 3 do 5 mm grubą barierę wierzchołkową.</w:t>
            </w:r>
          </w:p>
        </w:tc>
      </w:tr>
      <w:tr w:rsidR="00CE2D5C" w:rsidRPr="00CE2D5C" w:rsidTr="00CE2D5C">
        <w:trPr>
          <w:trHeight w:val="900"/>
        </w:trPr>
        <w:tc>
          <w:tcPr>
            <w:tcW w:w="2400" w:type="dxa"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Czy potrzebuję końcówki </w:t>
            </w:r>
            <w:proofErr w:type="spellStart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aplikatora</w:t>
            </w:r>
            <w:proofErr w:type="spellEnd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, aby dozować </w:t>
            </w:r>
            <w:proofErr w:type="spellStart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10540" w:type="dxa"/>
            <w:hideMark/>
          </w:tcPr>
          <w:p w:rsidR="00CE2D5C" w:rsidRPr="00CE2D5C" w:rsidRDefault="00CE2D5C" w:rsidP="00CE2D5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Nie potrzebujesz końcówki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aplikatora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. Usuń nakrętkę strzykawki i wyciśnij żądaną ilość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na podkładkę. Użyj wybranego narzędzia, aby dostarczyć masę do miejsca leczenia. Natychmiast po użyciu zakręć ponownie strzykawkę i umieść ją z powrotem w jej ochronnym aluminiowym pojemniku.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</w:p>
        </w:tc>
      </w:tr>
      <w:tr w:rsidR="00CE2D5C" w:rsidRPr="00CE2D5C" w:rsidTr="00CE2D5C">
        <w:trPr>
          <w:trHeight w:val="1820"/>
        </w:trPr>
        <w:tc>
          <w:tcPr>
            <w:tcW w:w="2400" w:type="dxa"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Jaki jest najlepszy instrument do umieszczenia </w:t>
            </w:r>
            <w:proofErr w:type="spellStart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w komorze miazgi podczas wykonywania </w:t>
            </w:r>
            <w:proofErr w:type="spellStart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pulpotomii</w:t>
            </w:r>
            <w:proofErr w:type="spellEnd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10540" w:type="dxa"/>
            <w:hideMark/>
          </w:tcPr>
          <w:p w:rsidR="00CE2D5C" w:rsidRPr="00CE2D5C" w:rsidRDefault="00CE2D5C" w:rsidP="00CE2D5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Zalecamy umieszczanie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za pomocą instrumentu z tworzywa sztucznego, instrumentu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Hollenbacha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, nośnika amalgamatu lub nośnika MTA. Materiał można delikatnie rozprowadzić za pomocą wilgotnej kulki bawełnianej,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plasera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amalgamatu lub polerki kulkowej.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</w:p>
        </w:tc>
      </w:tr>
      <w:tr w:rsidR="00CE2D5C" w:rsidRPr="00CE2D5C" w:rsidTr="00CE2D5C">
        <w:trPr>
          <w:trHeight w:val="2800"/>
        </w:trPr>
        <w:tc>
          <w:tcPr>
            <w:tcW w:w="2400" w:type="dxa"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Jaki jest najlepszy instrument do umieszczania </w:t>
            </w:r>
            <w:proofErr w:type="spellStart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podczas procedur chirurgicznych, takich jak wypełnianie końca korzenia, </w:t>
            </w:r>
            <w:proofErr w:type="spellStart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apeksyfikacja</w:t>
            </w:r>
            <w:proofErr w:type="spellEnd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lub naprawa perforacji?</w:t>
            </w:r>
          </w:p>
        </w:tc>
        <w:tc>
          <w:tcPr>
            <w:tcW w:w="10540" w:type="dxa"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Użyj dowolnego wygodnego instrumentu, aby dostarczyć mały stożek lub cylinder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do miejsca zabiegu. Można użyć pistoletu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Messinga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, nośnika amalgamatu, nośnika MTA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Dovgana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lub systemu MAP™. Odwrócone punkty papierowe lub punkty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guttaperkowe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mogą prowadzić masę w korzeniu do wierzchołka podczas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apeksyfikacji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CE2D5C" w:rsidRPr="00CE2D5C" w:rsidTr="00CE2D5C">
        <w:trPr>
          <w:trHeight w:val="840"/>
        </w:trPr>
        <w:tc>
          <w:tcPr>
            <w:tcW w:w="2400" w:type="dxa"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Jaki jest czas pracy </w:t>
            </w:r>
            <w:proofErr w:type="spellStart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10540" w:type="dxa"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Czas pracy w temperaturze pokojowej wynosi &gt;1 godzina. W przeciwieństwie do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NeoMTA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2,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jest formułowane z organicznego płynu bezwodnego. Po aplikacji wymaga wilgoci z tkanek wierzchołkowych, kanalików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zębinowych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lub tkanki miazgi do stwardnienia.</w:t>
            </w:r>
          </w:p>
        </w:tc>
      </w:tr>
      <w:tr w:rsidR="00CE2D5C" w:rsidRPr="00CE2D5C" w:rsidTr="00CE2D5C">
        <w:trPr>
          <w:trHeight w:val="1120"/>
        </w:trPr>
        <w:tc>
          <w:tcPr>
            <w:tcW w:w="2400" w:type="dxa"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Jaki jest czas wiązania </w:t>
            </w:r>
            <w:proofErr w:type="spellStart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10540" w:type="dxa"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stwardnieje in vivo w około 4 godziny. Wiązanie rozpoczyna się w obecności wilgoci z tkanek wierzchołkowych, kanalików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zębinowych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lub tkanki miazgi.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  <w:t xml:space="preserve">UWAGA: Aby zapobiec przedwczesnemu stwardnieniu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, natychmiast zakręć ponownie po każdym użyciu.</w:t>
            </w:r>
          </w:p>
        </w:tc>
      </w:tr>
      <w:tr w:rsidR="00CE2D5C" w:rsidRPr="00CE2D5C" w:rsidTr="00CE2D5C">
        <w:trPr>
          <w:trHeight w:val="1120"/>
        </w:trPr>
        <w:tc>
          <w:tcPr>
            <w:tcW w:w="2400" w:type="dxa"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Czy powinienem zabezpieczyć </w:t>
            </w:r>
            <w:proofErr w:type="spellStart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przed restauracją?</w:t>
            </w:r>
          </w:p>
        </w:tc>
        <w:tc>
          <w:tcPr>
            <w:tcW w:w="10540" w:type="dxa"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Nie jest to wymagane, ale szybką i łatwą metodą jest nałożenie warstwy kompozytu płynnego,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światłoutwardzalnego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jonomeru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szklanego, RMGI, IRM®, ZOE lub innego materiału restauracyjnego na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przed ostateczną restauracją zęba. Jeśli używasz płynnego kompozytu, który wymaga trawienia, traw ząb, a nie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, a następnie kontynuuj restaurację.</w:t>
            </w:r>
          </w:p>
        </w:tc>
      </w:tr>
      <w:tr w:rsidR="00CE2D5C" w:rsidRPr="00CE2D5C" w:rsidTr="00CE2D5C">
        <w:trPr>
          <w:trHeight w:val="1340"/>
        </w:trPr>
        <w:tc>
          <w:tcPr>
            <w:tcW w:w="2400" w:type="dxa"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Czy mogę umieścić </w:t>
            </w:r>
            <w:proofErr w:type="spellStart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i zakończyć restaurację przed jego całkowitym stwardnieniem?</w:t>
            </w:r>
          </w:p>
        </w:tc>
        <w:tc>
          <w:tcPr>
            <w:tcW w:w="10540" w:type="dxa"/>
            <w:hideMark/>
          </w:tcPr>
          <w:p w:rsidR="00CE2D5C" w:rsidRPr="00CE2D5C" w:rsidRDefault="00CE2D5C" w:rsidP="00CE2D5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Tak, możesz zakończyć restaurację lub cementować koronę zaraz po umieszczeniu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stwardnieje/zwiąże się pod restauracją.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jest natychmiast odporny na wypłukiwanie i stabilny wymiarowo po umieszczeniu, z zerowym skurczem i zaniedbywalnym rozszerzeniem, aby zapewnić uszczelnienie bez szczelin.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</w:p>
        </w:tc>
      </w:tr>
      <w:tr w:rsidR="00CE2D5C" w:rsidRPr="00CE2D5C" w:rsidTr="00CE2D5C">
        <w:trPr>
          <w:trHeight w:val="260"/>
        </w:trPr>
        <w:tc>
          <w:tcPr>
            <w:tcW w:w="12940" w:type="dxa"/>
            <w:gridSpan w:val="2"/>
            <w:hideMark/>
          </w:tcPr>
          <w:p w:rsidR="00CE2D5C" w:rsidRPr="00CE2D5C" w:rsidRDefault="00CE2D5C" w:rsidP="00CE2D5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CZYSZCZENIE I PRZECHOWYWANIE</w:t>
            </w:r>
          </w:p>
        </w:tc>
      </w:tr>
      <w:tr w:rsidR="00CE2D5C" w:rsidRPr="00CE2D5C" w:rsidTr="00CE2D5C">
        <w:trPr>
          <w:trHeight w:val="840"/>
        </w:trPr>
        <w:tc>
          <w:tcPr>
            <w:tcW w:w="2400" w:type="dxa"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Jaki jest okres przydatności do użycia </w:t>
            </w:r>
            <w:proofErr w:type="spellStart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10540" w:type="dxa"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Produkt ma 3-letni okres przydatności do użycia.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  <w:t xml:space="preserve">Aby zapobiec stwardnieniu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, natychmiast zakręć ponownie po każdym użyciu. Przechowuj strzykawkę w dostarczonym ochronnym aluminiowym pojemniku.</w:t>
            </w:r>
          </w:p>
        </w:tc>
      </w:tr>
      <w:tr w:rsidR="00CE2D5C" w:rsidRPr="00CE2D5C" w:rsidTr="00CE2D5C">
        <w:trPr>
          <w:trHeight w:val="1960"/>
        </w:trPr>
        <w:tc>
          <w:tcPr>
            <w:tcW w:w="2400" w:type="dxa"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Czy powinienem przechowywać zestaw lub jego składniki w lodówce?</w:t>
            </w:r>
          </w:p>
        </w:tc>
        <w:tc>
          <w:tcPr>
            <w:tcW w:w="10540" w:type="dxa"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NIE. Przechowuj i używaj w temperaturze pokojowej (na poziomie lub powyżej 72°F/22°C) dla optymalnego obsługiwania i kontroli (NIE chłodzić). Jeśli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jest przechowywane lub używane w temperaturze poniżej 72°F (22°C), jego dozowanie może być utrudnione.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  <w:t xml:space="preserve">UWAGA: Przy użyciu techniki dozowania bezodpadowego dla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, wymagane jest powtarzane pompowanie, aby dozować produkt i może być odczuwalny pewien opór podczas pompowania.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NeoPUTTY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jest gęste i nie będzie swobodnie wypływać ze strzykawki, więc odczuwany opór podczas pompowania jest NORMALNY.</w:t>
            </w:r>
          </w:p>
        </w:tc>
      </w:tr>
      <w:tr w:rsidR="00CE2D5C" w:rsidRPr="00CE2D5C" w:rsidTr="00CE2D5C">
        <w:trPr>
          <w:trHeight w:val="260"/>
        </w:trPr>
        <w:tc>
          <w:tcPr>
            <w:tcW w:w="12940" w:type="dxa"/>
            <w:gridSpan w:val="2"/>
            <w:noWrap/>
            <w:hideMark/>
          </w:tcPr>
          <w:p w:rsidR="00CE2D5C" w:rsidRPr="00CE2D5C" w:rsidRDefault="00CE2D5C" w:rsidP="00CE2D5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INNE</w:t>
            </w:r>
          </w:p>
        </w:tc>
      </w:tr>
      <w:tr w:rsidR="00CE2D5C" w:rsidRPr="00CE2D5C" w:rsidTr="00CE2D5C">
        <w:trPr>
          <w:trHeight w:val="2520"/>
        </w:trPr>
        <w:tc>
          <w:tcPr>
            <w:tcW w:w="2400" w:type="dxa"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Czy NuSmile sprzedaje produkt MTA utwardzany światłem?</w:t>
            </w:r>
          </w:p>
        </w:tc>
        <w:tc>
          <w:tcPr>
            <w:tcW w:w="10540" w:type="dxa"/>
            <w:hideMark/>
          </w:tcPr>
          <w:p w:rsidR="00CE2D5C" w:rsidRPr="00CE2D5C" w:rsidRDefault="00CE2D5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NuSmile nie produkuje MTA utwardzanego światłem. Preferujemy maksymalizację stężenia bioaktywnych proszków w produktach NuSmile i dostarczamy je w formule, która pozwala bioaktywnym proszkom łatwo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hydratować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i tworzyć Ca(OH)2 dla formacji 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hydroksyapatytu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  <w:t>Produkty MTA utwardzane światłem i utwardzane podwójnie zawierają żywice, które rozcieńczają i hamują bioaktywność MTA.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  <w:t>Żywice nigdy nie utwardzają się w 100%. Nieutwardzona żywica pozostawia cytotoksyczne monomery w macierzy MTA-żywica i w kontakcie z miazgą.</w:t>
            </w:r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br/>
              <w:t>Żywice kurczą się podczas utwardzania; nie są stabilne wymiarowo. Bioaktywne cementy NuSmile (</w:t>
            </w:r>
            <w:proofErr w:type="spellStart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MTAs</w:t>
            </w:r>
            <w:proofErr w:type="spellEnd"/>
            <w:r w:rsidRPr="00CE2D5C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) rozszerzają się bardzo nieznacznie, aby zapewnić uszczelnienie.</w:t>
            </w:r>
          </w:p>
        </w:tc>
      </w:tr>
    </w:tbl>
    <w:p w:rsidR="00F04FEB" w:rsidRDefault="00F04FEB">
      <w:bookmarkStart w:id="0" w:name="_GoBack"/>
      <w:bookmarkEnd w:id="0"/>
    </w:p>
    <w:sectPr w:rsidR="00F04FEB" w:rsidSect="004D2B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1D"/>
    <w:rsid w:val="004D2B50"/>
    <w:rsid w:val="00CE2D5C"/>
    <w:rsid w:val="00E2611D"/>
    <w:rsid w:val="00F0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2BDE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CE2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CE2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1489</Words>
  <Characters>8935</Characters>
  <Application>Microsoft Macintosh Word</Application>
  <DocSecurity>0</DocSecurity>
  <Lines>74</Lines>
  <Paragraphs>20</Paragraphs>
  <ScaleCrop>false</ScaleCrop>
  <Company/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</dc:creator>
  <cp:keywords/>
  <dc:description/>
  <cp:lastModifiedBy>AI</cp:lastModifiedBy>
  <cp:revision>1</cp:revision>
  <dcterms:created xsi:type="dcterms:W3CDTF">2024-03-05T17:01:00Z</dcterms:created>
  <dcterms:modified xsi:type="dcterms:W3CDTF">2024-03-06T13:30:00Z</dcterms:modified>
</cp:coreProperties>
</file>